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B6" w:rsidRDefault="00D659B6">
      <w:r>
        <w:rPr>
          <w:noProof/>
          <w:lang w:eastAsia="nl-NL"/>
        </w:rPr>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1076400" cy="1494000"/>
            <wp:effectExtent l="0" t="0" r="0" b="0"/>
            <wp:wrapNone/>
            <wp:docPr id="1222" name="Picture 1" descr="logo_CVBK">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159BEDC-28FB-017B-DCB1-3B56E10586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Picture 1" descr="logo_CVBK">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159BEDC-28FB-017B-DCB1-3B56E105863E}"/>
                        </a:ext>
                      </a:extLs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6400" cy="1494000"/>
                    </a:xfrm>
                    <a:prstGeom prst="rect">
                      <a:avLst/>
                    </a:prstGeom>
                    <a:noFill/>
                    <a:ln>
                      <a:noFill/>
                    </a:ln>
                  </pic:spPr>
                </pic:pic>
              </a:graphicData>
            </a:graphic>
          </wp:anchor>
        </w:drawing>
      </w:r>
      <w:r>
        <w:tab/>
      </w:r>
      <w:r>
        <w:tab/>
      </w:r>
      <w:r>
        <w:tab/>
      </w:r>
    </w:p>
    <w:p w:rsidR="00D659B6" w:rsidRDefault="00D659B6"/>
    <w:p w:rsidR="00D659B6" w:rsidRDefault="00D659B6"/>
    <w:p w:rsidR="00D659B6" w:rsidRDefault="00D659B6" w:rsidP="00D659B6">
      <w:pPr>
        <w:ind w:left="2832" w:firstLine="3"/>
        <w:rPr>
          <w:b/>
          <w:bCs/>
        </w:rPr>
      </w:pPr>
      <w:r w:rsidRPr="00D659B6">
        <w:rPr>
          <w:b/>
          <w:bCs/>
          <w:sz w:val="56"/>
          <w:szCs w:val="56"/>
        </w:rPr>
        <w:t>C</w:t>
      </w:r>
      <w:r>
        <w:rPr>
          <w:b/>
          <w:bCs/>
          <w:sz w:val="56"/>
          <w:szCs w:val="56"/>
        </w:rPr>
        <w:t xml:space="preserve">arnavalsvereniging </w:t>
      </w:r>
      <w:r>
        <w:rPr>
          <w:b/>
          <w:bCs/>
          <w:sz w:val="56"/>
          <w:szCs w:val="56"/>
        </w:rPr>
        <w:br/>
        <w:t xml:space="preserve">  </w:t>
      </w:r>
      <w:r w:rsidRPr="00D659B6">
        <w:rPr>
          <w:b/>
          <w:bCs/>
          <w:sz w:val="56"/>
          <w:szCs w:val="56"/>
        </w:rPr>
        <w:t xml:space="preserve">de </w:t>
      </w:r>
      <w:proofErr w:type="spellStart"/>
      <w:r w:rsidRPr="00D659B6">
        <w:rPr>
          <w:b/>
          <w:bCs/>
          <w:sz w:val="56"/>
          <w:szCs w:val="56"/>
        </w:rPr>
        <w:t>Beringse</w:t>
      </w:r>
      <w:proofErr w:type="spellEnd"/>
      <w:r w:rsidRPr="00D659B6">
        <w:rPr>
          <w:b/>
          <w:bCs/>
          <w:sz w:val="56"/>
          <w:szCs w:val="56"/>
        </w:rPr>
        <w:t xml:space="preserve"> </w:t>
      </w:r>
      <w:proofErr w:type="spellStart"/>
      <w:r w:rsidRPr="00D659B6">
        <w:rPr>
          <w:b/>
          <w:bCs/>
          <w:sz w:val="56"/>
          <w:szCs w:val="56"/>
        </w:rPr>
        <w:t>Kuus</w:t>
      </w:r>
      <w:proofErr w:type="spellEnd"/>
    </w:p>
    <w:p w:rsidR="00D659B6" w:rsidRDefault="00D659B6">
      <w:pPr>
        <w:rPr>
          <w:b/>
          <w:bCs/>
        </w:rPr>
      </w:pPr>
    </w:p>
    <w:p w:rsidR="00D659B6" w:rsidRPr="009F2F09" w:rsidRDefault="00D659B6" w:rsidP="002D5FE1">
      <w:pPr>
        <w:pStyle w:val="Normaalweb"/>
        <w:jc w:val="center"/>
        <w:rPr>
          <w:rFonts w:ascii="Arial" w:hAnsi="Arial" w:cs="Arial"/>
          <w:b/>
          <w:bCs/>
          <w:color w:val="000000" w:themeColor="text1"/>
          <w:sz w:val="22"/>
          <w:szCs w:val="22"/>
        </w:rPr>
      </w:pPr>
      <w:r w:rsidRPr="009F2F09">
        <w:rPr>
          <w:rFonts w:ascii="Arial" w:hAnsi="Arial" w:cs="Arial"/>
          <w:b/>
          <w:bCs/>
          <w:color w:val="000000" w:themeColor="text1"/>
          <w:sz w:val="28"/>
          <w:szCs w:val="28"/>
        </w:rPr>
        <w:t xml:space="preserve">REGLEMENT VOOR DEELNAME AAN DE CARNAVALSOPTOCHT </w:t>
      </w:r>
      <w:r w:rsidRPr="009F2F09">
        <w:rPr>
          <w:rFonts w:ascii="Arial" w:hAnsi="Arial" w:cs="Arial"/>
          <w:b/>
          <w:bCs/>
          <w:color w:val="000000" w:themeColor="text1"/>
          <w:sz w:val="28"/>
          <w:szCs w:val="28"/>
        </w:rPr>
        <w:br/>
        <w:t>VAN</w:t>
      </w:r>
      <w:r w:rsidRPr="009F2F09">
        <w:rPr>
          <w:rFonts w:ascii="Arial" w:hAnsi="Arial" w:cs="Arial"/>
          <w:b/>
          <w:bCs/>
          <w:color w:val="000000" w:themeColor="text1"/>
          <w:sz w:val="22"/>
          <w:szCs w:val="22"/>
        </w:rPr>
        <w:t xml:space="preserve"> </w:t>
      </w:r>
      <w:r w:rsidRPr="009F2F09">
        <w:rPr>
          <w:rFonts w:ascii="Arial" w:hAnsi="Arial" w:cs="Arial"/>
          <w:b/>
          <w:bCs/>
          <w:color w:val="000000" w:themeColor="text1"/>
          <w:sz w:val="28"/>
          <w:szCs w:val="28"/>
        </w:rPr>
        <w:t>CARNAVALSVERENIGING DE BERINGE KUUS 2025</w:t>
      </w:r>
    </w:p>
    <w:tbl>
      <w:tblPr>
        <w:tblW w:w="0" w:type="auto"/>
        <w:tblCellSpacing w:w="15" w:type="dxa"/>
        <w:tblCellMar>
          <w:left w:w="0" w:type="dxa"/>
          <w:right w:w="0" w:type="dxa"/>
        </w:tblCellMar>
        <w:tblLook w:val="0000"/>
      </w:tblPr>
      <w:tblGrid>
        <w:gridCol w:w="565"/>
        <w:gridCol w:w="8580"/>
      </w:tblGrid>
      <w:tr w:rsidR="009F2F09" w:rsidRPr="009F2F09" w:rsidTr="00B574D4">
        <w:trPr>
          <w:tblCellSpacing w:w="15" w:type="dxa"/>
        </w:trPr>
        <w:tc>
          <w:tcPr>
            <w:tcW w:w="520" w:type="dxa"/>
            <w:tcMar>
              <w:top w:w="15" w:type="dxa"/>
              <w:left w:w="15" w:type="dxa"/>
              <w:bottom w:w="15" w:type="dxa"/>
              <w:right w:w="15" w:type="dxa"/>
            </w:tcMar>
          </w:tcPr>
          <w:p w:rsidR="00D659B6" w:rsidRPr="009F2F09" w:rsidRDefault="00D659B6" w:rsidP="00EB3611">
            <w:pPr>
              <w:rPr>
                <w:color w:val="000000" w:themeColor="text1"/>
              </w:rPr>
            </w:pPr>
            <w:r w:rsidRPr="009F2F09">
              <w:rPr>
                <w:color w:val="000000" w:themeColor="text1"/>
              </w:rPr>
              <w:t>1.</w:t>
            </w:r>
          </w:p>
          <w:p w:rsidR="00D659B6" w:rsidRPr="009F2F09" w:rsidRDefault="00D659B6" w:rsidP="00EB3611">
            <w:pPr>
              <w:rPr>
                <w:color w:val="000000" w:themeColor="text1"/>
              </w:rPr>
            </w:pP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De opgave voor deelname dient te geschieden voor de vastgestelde datum zoals gepubliceerd in de media en vermeld op het inschrijfformulier.</w:t>
            </w:r>
          </w:p>
          <w:p w:rsidR="00D659B6" w:rsidRPr="009F2F09" w:rsidRDefault="00D659B6" w:rsidP="00EB3611">
            <w:pPr>
              <w:rPr>
                <w:color w:val="000000" w:themeColor="text1"/>
              </w:rPr>
            </w:pP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D659B6" w:rsidP="00EB3611">
            <w:pPr>
              <w:rPr>
                <w:color w:val="000000" w:themeColor="text1"/>
              </w:rPr>
            </w:pPr>
            <w:r w:rsidRPr="009F2F09">
              <w:rPr>
                <w:color w:val="000000" w:themeColor="text1"/>
              </w:rPr>
              <w:t>2.</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Indien na opgave toch van deelname wordt afgezien, dient men zich zo spoedig mogelijk af te melden.</w:t>
            </w:r>
            <w:r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D659B6" w:rsidP="00EB3611">
            <w:pPr>
              <w:rPr>
                <w:color w:val="000000" w:themeColor="text1"/>
              </w:rPr>
            </w:pPr>
            <w:r w:rsidRPr="009F2F09">
              <w:rPr>
                <w:color w:val="000000" w:themeColor="text1"/>
              </w:rPr>
              <w:t>3.</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Men kan inschrijven voor de volgende categorieën:</w:t>
            </w:r>
          </w:p>
          <w:p w:rsidR="00D659B6" w:rsidRPr="009F2F09" w:rsidRDefault="00D659B6" w:rsidP="00EB3611">
            <w:pPr>
              <w:numPr>
                <w:ilvl w:val="0"/>
                <w:numId w:val="1"/>
              </w:numPr>
              <w:spacing w:line="240" w:lineRule="auto"/>
              <w:rPr>
                <w:color w:val="000000" w:themeColor="text1"/>
              </w:rPr>
            </w:pPr>
            <w:r w:rsidRPr="009F2F09">
              <w:rPr>
                <w:color w:val="000000" w:themeColor="text1"/>
              </w:rPr>
              <w:t>Wagens</w:t>
            </w:r>
          </w:p>
          <w:p w:rsidR="00D659B6" w:rsidRPr="009F2F09" w:rsidRDefault="00D659B6" w:rsidP="00EB3611">
            <w:pPr>
              <w:numPr>
                <w:ilvl w:val="0"/>
                <w:numId w:val="1"/>
              </w:numPr>
              <w:spacing w:line="240" w:lineRule="auto"/>
              <w:rPr>
                <w:color w:val="000000" w:themeColor="text1"/>
              </w:rPr>
            </w:pPr>
            <w:r w:rsidRPr="009F2F09">
              <w:rPr>
                <w:color w:val="000000" w:themeColor="text1"/>
              </w:rPr>
              <w:t>Groepen</w:t>
            </w:r>
          </w:p>
          <w:p w:rsidR="00D659B6" w:rsidRPr="009F2F09" w:rsidRDefault="00D659B6" w:rsidP="00EB3611">
            <w:pPr>
              <w:numPr>
                <w:ilvl w:val="0"/>
                <w:numId w:val="1"/>
              </w:numPr>
              <w:spacing w:line="240" w:lineRule="auto"/>
              <w:rPr>
                <w:color w:val="000000" w:themeColor="text1"/>
              </w:rPr>
            </w:pPr>
            <w:r w:rsidRPr="009F2F09">
              <w:rPr>
                <w:color w:val="000000" w:themeColor="text1"/>
              </w:rPr>
              <w:t>Individueel</w:t>
            </w:r>
          </w:p>
          <w:p w:rsidR="00D659B6" w:rsidRPr="009F2F09" w:rsidRDefault="00D659B6" w:rsidP="00EB3611">
            <w:pPr>
              <w:numPr>
                <w:ilvl w:val="0"/>
                <w:numId w:val="1"/>
              </w:numPr>
              <w:spacing w:line="240" w:lineRule="auto"/>
              <w:rPr>
                <w:color w:val="000000" w:themeColor="text1"/>
              </w:rPr>
            </w:pPr>
            <w:r w:rsidRPr="009F2F09">
              <w:rPr>
                <w:color w:val="000000" w:themeColor="text1"/>
              </w:rPr>
              <w:t>Duo's</w:t>
            </w:r>
          </w:p>
          <w:p w:rsidR="00D659B6" w:rsidRPr="009F2F09" w:rsidRDefault="00D659B6" w:rsidP="00EB3611">
            <w:pPr>
              <w:numPr>
                <w:ilvl w:val="0"/>
                <w:numId w:val="1"/>
              </w:numPr>
              <w:spacing w:line="240" w:lineRule="auto"/>
              <w:rPr>
                <w:color w:val="000000" w:themeColor="text1"/>
              </w:rPr>
            </w:pPr>
            <w:r w:rsidRPr="009F2F09">
              <w:rPr>
                <w:color w:val="000000" w:themeColor="text1"/>
              </w:rPr>
              <w:t>Gemengde groep ( Minimaal 4 kinderen t/m groep 8)</w:t>
            </w:r>
          </w:p>
          <w:p w:rsidR="00D659B6" w:rsidRPr="009F2F09" w:rsidRDefault="00D659B6" w:rsidP="00EB3611">
            <w:pPr>
              <w:ind w:left="360"/>
              <w:rPr>
                <w:color w:val="000000" w:themeColor="text1"/>
              </w:rPr>
            </w:pP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D659B6" w:rsidP="00EB3611">
            <w:pPr>
              <w:rPr>
                <w:color w:val="000000" w:themeColor="text1"/>
              </w:rPr>
            </w:pPr>
            <w:r w:rsidRPr="009F2F09">
              <w:rPr>
                <w:color w:val="000000" w:themeColor="text1"/>
              </w:rPr>
              <w:t>4.</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Iedere deelnemer dient zijn startnummer af te halen op een datum, tijd en plaats die zijn vermeld op het info formulier, welke wordt uitgereikt bij inschrijving.</w:t>
            </w:r>
            <w:r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D659B6" w:rsidP="00EB3611">
            <w:pPr>
              <w:rPr>
                <w:color w:val="000000" w:themeColor="text1"/>
              </w:rPr>
            </w:pPr>
            <w:r w:rsidRPr="009F2F09">
              <w:rPr>
                <w:color w:val="000000" w:themeColor="text1"/>
              </w:rPr>
              <w:t>5.</w:t>
            </w:r>
          </w:p>
        </w:tc>
        <w:tc>
          <w:tcPr>
            <w:tcW w:w="8535" w:type="dxa"/>
            <w:tcMar>
              <w:top w:w="15" w:type="dxa"/>
              <w:left w:w="15" w:type="dxa"/>
              <w:bottom w:w="15" w:type="dxa"/>
              <w:right w:w="15" w:type="dxa"/>
            </w:tcMar>
            <w:vAlign w:val="center"/>
          </w:tcPr>
          <w:p w:rsidR="00D659B6" w:rsidRPr="009F2F09" w:rsidRDefault="00D659B6" w:rsidP="00EB3611">
            <w:pPr>
              <w:rPr>
                <w:iCs/>
                <w:color w:val="000000" w:themeColor="text1"/>
              </w:rPr>
            </w:pPr>
            <w:r w:rsidRPr="009F2F09">
              <w:rPr>
                <w:color w:val="000000" w:themeColor="text1"/>
              </w:rPr>
              <w:t xml:space="preserve">Iedere deelnemer behoort voor het opstellen van de optocht en gedurende de optocht het  startnummer duidelijk zichtbaar mee te voeren. Dit nummerbord dient </w:t>
            </w:r>
            <w:r w:rsidRPr="009F2F09">
              <w:rPr>
                <w:color w:val="000000" w:themeColor="text1"/>
                <w:u w:val="single"/>
              </w:rPr>
              <w:t>direct</w:t>
            </w:r>
            <w:r w:rsidRPr="009F2F09">
              <w:rPr>
                <w:color w:val="000000" w:themeColor="text1"/>
              </w:rPr>
              <w:t xml:space="preserve"> na de optocht te worden ingeleverd. </w:t>
            </w:r>
            <w:r w:rsidRPr="009F2F09">
              <w:rPr>
                <w:i/>
                <w:color w:val="000000" w:themeColor="text1"/>
              </w:rPr>
              <w:t xml:space="preserve">Voor mededinging naar prijzen behoort het nummer in bezit te zijn door de </w:t>
            </w:r>
            <w:proofErr w:type="spellStart"/>
            <w:r w:rsidRPr="009F2F09">
              <w:rPr>
                <w:i/>
                <w:color w:val="000000" w:themeColor="text1"/>
              </w:rPr>
              <w:t>Beringse</w:t>
            </w:r>
            <w:proofErr w:type="spellEnd"/>
            <w:r w:rsidRPr="009F2F09">
              <w:rPr>
                <w:i/>
                <w:color w:val="000000" w:themeColor="text1"/>
              </w:rPr>
              <w:t xml:space="preserve"> </w:t>
            </w:r>
            <w:proofErr w:type="spellStart"/>
            <w:r w:rsidRPr="009F2F09">
              <w:rPr>
                <w:i/>
                <w:color w:val="000000" w:themeColor="text1"/>
              </w:rPr>
              <w:t>Kuus</w:t>
            </w:r>
            <w:proofErr w:type="spellEnd"/>
            <w:r w:rsidRPr="009F2F09">
              <w:rPr>
                <w:i/>
                <w:color w:val="000000" w:themeColor="text1"/>
              </w:rPr>
              <w:t>.</w:t>
            </w:r>
            <w:r w:rsidR="00EB3611" w:rsidRPr="009F2F09">
              <w:rPr>
                <w:iCs/>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EB3611" w:rsidP="00EB3611">
            <w:pPr>
              <w:rPr>
                <w:color w:val="000000" w:themeColor="text1"/>
              </w:rPr>
            </w:pPr>
            <w:r w:rsidRPr="009F2F09">
              <w:rPr>
                <w:color w:val="000000" w:themeColor="text1"/>
              </w:rPr>
              <w:t>6.</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Men behoort zich op de voor hen bestemde plaats op te stellen en de voorgeschreven route te volgen.</w:t>
            </w:r>
            <w:r w:rsidR="00EB3611"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EB3611" w:rsidP="00EB3611">
            <w:pPr>
              <w:rPr>
                <w:color w:val="000000" w:themeColor="text1"/>
              </w:rPr>
            </w:pPr>
            <w:r w:rsidRPr="009F2F09">
              <w:rPr>
                <w:color w:val="000000" w:themeColor="text1"/>
              </w:rPr>
              <w:t>7.</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De optochtcommissie is gerechtigd aanstootgevende en/of kwetsende tekst of uitbeelding te laten wijzigen of te verwijderen</w:t>
            </w:r>
            <w:r w:rsidR="00EB3611" w:rsidRPr="009F2F09">
              <w:rPr>
                <w:color w:val="000000" w:themeColor="text1"/>
              </w:rPr>
              <w:t xml:space="preserve"> en deelnemers die ernstige rotzooi veroorzaken voor, tijdens en na de optocht uit te sluiten van prijzen.</w:t>
            </w:r>
            <w:r w:rsidR="00EB3611"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EB3611" w:rsidP="00EB3611">
            <w:pPr>
              <w:rPr>
                <w:color w:val="000000" w:themeColor="text1"/>
              </w:rPr>
            </w:pPr>
            <w:r w:rsidRPr="009F2F09">
              <w:rPr>
                <w:color w:val="000000" w:themeColor="text1"/>
              </w:rPr>
              <w:t>8.</w:t>
            </w:r>
            <w:r w:rsidR="00D659B6" w:rsidRPr="009F2F09">
              <w:rPr>
                <w:color w:val="000000" w:themeColor="text1"/>
              </w:rPr>
              <w:t>.</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De deelnemers behoren de aanwijzingen van de optocht commissie ten aller tijden op te volgen. Ook aanwijzingen van de verkeersregelaars, herkenbaar aan een oranje vest met driehoek, dienen ten aller tijden te worden opgevolgd.</w:t>
            </w:r>
            <w:r w:rsidR="00EB3611"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EB3611" w:rsidP="00EB3611">
            <w:pPr>
              <w:rPr>
                <w:color w:val="000000" w:themeColor="text1"/>
              </w:rPr>
            </w:pPr>
            <w:r w:rsidRPr="009F2F09">
              <w:rPr>
                <w:color w:val="000000" w:themeColor="text1"/>
              </w:rPr>
              <w:t xml:space="preserve">9. </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De optocht dient zo veel mogelijk een gesloten geheel te vormen en te blijven. Het bewust ophouden van de optocht kan leiden tot uitsluiting van deelname en prijzen.</w:t>
            </w:r>
            <w:r w:rsidR="00EB3611"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EB3611" w:rsidP="00EB3611">
            <w:pPr>
              <w:rPr>
                <w:color w:val="000000" w:themeColor="text1"/>
              </w:rPr>
            </w:pPr>
            <w:r w:rsidRPr="009F2F09">
              <w:rPr>
                <w:color w:val="000000" w:themeColor="text1"/>
              </w:rPr>
              <w:t>10.</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 xml:space="preserve">Tijdens de optocht is het de deelnemers verboden om snoep en dergelijke te gooien (uitgezonderd de prinsenwagen van de </w:t>
            </w:r>
            <w:proofErr w:type="spellStart"/>
            <w:r w:rsidRPr="009F2F09">
              <w:rPr>
                <w:color w:val="000000" w:themeColor="text1"/>
              </w:rPr>
              <w:t>Beringse</w:t>
            </w:r>
            <w:proofErr w:type="spellEnd"/>
            <w:r w:rsidRPr="009F2F09">
              <w:rPr>
                <w:color w:val="000000" w:themeColor="text1"/>
              </w:rPr>
              <w:t xml:space="preserve"> </w:t>
            </w:r>
            <w:proofErr w:type="spellStart"/>
            <w:r w:rsidRPr="009F2F09">
              <w:rPr>
                <w:color w:val="000000" w:themeColor="text1"/>
              </w:rPr>
              <w:t>Kuus</w:t>
            </w:r>
            <w:proofErr w:type="spellEnd"/>
            <w:r w:rsidRPr="009F2F09">
              <w:rPr>
                <w:color w:val="000000" w:themeColor="text1"/>
              </w:rPr>
              <w:t>).</w:t>
            </w:r>
            <w:r w:rsidR="00EB3611"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EB3611" w:rsidP="00EB3611">
            <w:pPr>
              <w:rPr>
                <w:color w:val="000000" w:themeColor="text1"/>
              </w:rPr>
            </w:pPr>
            <w:r w:rsidRPr="009F2F09">
              <w:rPr>
                <w:color w:val="000000" w:themeColor="text1"/>
              </w:rPr>
              <w:lastRenderedPageBreak/>
              <w:t>11.</w:t>
            </w:r>
          </w:p>
          <w:p w:rsidR="00D659B6" w:rsidRPr="009F2F09" w:rsidRDefault="00D659B6" w:rsidP="00EB3611">
            <w:pPr>
              <w:rPr>
                <w:color w:val="000000" w:themeColor="text1"/>
              </w:rPr>
            </w:pPr>
          </w:p>
          <w:p w:rsidR="00D659B6" w:rsidRPr="009F2F09" w:rsidRDefault="00D659B6" w:rsidP="00EB3611">
            <w:pPr>
              <w:rPr>
                <w:color w:val="000000" w:themeColor="text1"/>
              </w:rPr>
            </w:pPr>
            <w:r w:rsidRPr="009F2F09">
              <w:rPr>
                <w:color w:val="000000" w:themeColor="text1"/>
              </w:rPr>
              <w:t xml:space="preserve">     </w:t>
            </w:r>
            <w:r w:rsidR="00EB3611" w:rsidRPr="009F2F09">
              <w:rPr>
                <w:color w:val="000000" w:themeColor="text1"/>
              </w:rPr>
              <w:t xml:space="preserve">   </w:t>
            </w:r>
            <w:r w:rsidR="00EB3611" w:rsidRPr="009F2F09">
              <w:rPr>
                <w:color w:val="000000" w:themeColor="text1"/>
              </w:rPr>
              <w:br/>
              <w:t xml:space="preserve">    </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 xml:space="preserve">Het rijden van carnavalsvoertuigen dient beperkt te blijven tot de tijd gelegen tussen één uur voor het tijdstip van opstellen en één uur na het ontbinden van de stoet. </w:t>
            </w:r>
          </w:p>
          <w:p w:rsidR="00D659B6" w:rsidRPr="009F2F09" w:rsidRDefault="00D659B6" w:rsidP="00EB3611">
            <w:pPr>
              <w:rPr>
                <w:color w:val="000000" w:themeColor="text1"/>
              </w:rPr>
            </w:pPr>
            <w:r w:rsidRPr="009F2F09">
              <w:rPr>
                <w:color w:val="000000" w:themeColor="text1"/>
              </w:rPr>
              <w:t>Het rijden onder invloed is verboden zoals ook in de wet staat beschreven.</w:t>
            </w:r>
            <w:r w:rsidR="00EB3611"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EB3611" w:rsidP="00EB3611">
            <w:pPr>
              <w:rPr>
                <w:color w:val="000000" w:themeColor="text1"/>
              </w:rPr>
            </w:pPr>
            <w:r w:rsidRPr="009F2F09">
              <w:rPr>
                <w:color w:val="000000" w:themeColor="text1"/>
              </w:rPr>
              <w:t>12.</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De bevelen en/of aanwijzingen van de politie dienen ten aller tijden stipt te worden opgevolgd.</w:t>
            </w:r>
            <w:r w:rsidR="00EB3611"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EB3611" w:rsidP="00EB3611">
            <w:pPr>
              <w:rPr>
                <w:color w:val="000000" w:themeColor="text1"/>
              </w:rPr>
            </w:pPr>
            <w:r w:rsidRPr="009F2F09">
              <w:rPr>
                <w:color w:val="000000" w:themeColor="text1"/>
              </w:rPr>
              <w:t>13.</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Vaste of bewegende delen van een wagen of meegevoerde voorwerpen door groepen of individuele mogen zich tijdens de optocht niet boven het publiek of trottoir bevinden.</w:t>
            </w:r>
            <w:r w:rsidR="00EB3611"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3D3E15" w:rsidRPr="009F2F09" w:rsidRDefault="00EB3611" w:rsidP="00EB3611">
            <w:pPr>
              <w:rPr>
                <w:color w:val="000000" w:themeColor="text1"/>
              </w:rPr>
            </w:pPr>
            <w:r w:rsidRPr="009F2F09">
              <w:rPr>
                <w:color w:val="000000" w:themeColor="text1"/>
              </w:rPr>
              <w:t>14.</w:t>
            </w:r>
          </w:p>
          <w:p w:rsidR="003D3E15" w:rsidRPr="009F2F09" w:rsidRDefault="003D3E15" w:rsidP="00EB3611">
            <w:pPr>
              <w:rPr>
                <w:color w:val="000000" w:themeColor="text1"/>
              </w:rPr>
            </w:pPr>
          </w:p>
          <w:p w:rsidR="003D3E15" w:rsidRPr="009F2F09" w:rsidRDefault="003D3E15" w:rsidP="00EB3611">
            <w:pPr>
              <w:rPr>
                <w:color w:val="000000" w:themeColor="text1"/>
              </w:rPr>
            </w:pPr>
          </w:p>
          <w:p w:rsidR="003D3E15" w:rsidRPr="009F2F09" w:rsidRDefault="003D3E15" w:rsidP="00EB3611">
            <w:pPr>
              <w:rPr>
                <w:color w:val="000000" w:themeColor="text1"/>
              </w:rPr>
            </w:pPr>
          </w:p>
          <w:p w:rsidR="003D3E15" w:rsidRPr="009F2F09" w:rsidRDefault="003D3E15" w:rsidP="00EB3611">
            <w:pPr>
              <w:rPr>
                <w:color w:val="000000" w:themeColor="text1"/>
              </w:rPr>
            </w:pPr>
          </w:p>
          <w:p w:rsidR="00D659B6" w:rsidRPr="009F2F09" w:rsidRDefault="003D3E15" w:rsidP="00EB3611">
            <w:pPr>
              <w:rPr>
                <w:color w:val="000000" w:themeColor="text1"/>
              </w:rPr>
            </w:pPr>
            <w:r w:rsidRPr="009F2F09">
              <w:rPr>
                <w:color w:val="000000" w:themeColor="text1"/>
              </w:rPr>
              <w:t xml:space="preserve">15. </w:t>
            </w:r>
            <w:r w:rsidR="00EB3611" w:rsidRPr="009F2F09">
              <w:rPr>
                <w:color w:val="000000" w:themeColor="text1"/>
              </w:rPr>
              <w:t xml:space="preserve"> </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 xml:space="preserve">Gebruik van alcohol tijdens de optocht is niet toegestaan. </w:t>
            </w:r>
            <w:r w:rsidR="00EB3611" w:rsidRPr="009F2F09">
              <w:rPr>
                <w:color w:val="000000" w:themeColor="text1"/>
              </w:rPr>
              <w:br/>
              <w:t>Drank in glaswerk is NIET toegestaan voor, tijdens en na de optocht.</w:t>
            </w:r>
            <w:r w:rsidR="00EB3611" w:rsidRPr="009F2F09">
              <w:rPr>
                <w:color w:val="000000" w:themeColor="text1"/>
              </w:rPr>
              <w:br/>
            </w:r>
            <w:r w:rsidRPr="009F2F09">
              <w:rPr>
                <w:color w:val="000000" w:themeColor="text1"/>
              </w:rPr>
              <w:t>Ook is het verboden om glazen flesjes op straat te gooien, deze dienen gedeponeerd te worden in een daarvoor bestemde glasbak</w:t>
            </w:r>
            <w:r w:rsidR="00EB3611" w:rsidRPr="009F2F09">
              <w:rPr>
                <w:color w:val="000000" w:themeColor="text1"/>
              </w:rPr>
              <w:t>.</w:t>
            </w:r>
            <w:r w:rsidR="00EB3611" w:rsidRPr="009F2F09">
              <w:rPr>
                <w:color w:val="000000" w:themeColor="text1"/>
              </w:rPr>
              <w:br/>
            </w:r>
            <w:r w:rsidR="003D3E15" w:rsidRPr="009F2F09">
              <w:rPr>
                <w:color w:val="000000" w:themeColor="text1"/>
              </w:rPr>
              <w:br/>
              <w:t>Het in de omgeving brengen, op welke manier dan ook, van voor het milieu schadelijke stoffen, zoals o.a. piepschuim, is verboden.</w:t>
            </w:r>
            <w:r w:rsidR="003D3E15"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EB3611" w:rsidP="00EB3611">
            <w:pPr>
              <w:rPr>
                <w:color w:val="000000" w:themeColor="text1"/>
              </w:rPr>
            </w:pPr>
            <w:r w:rsidRPr="009F2F09">
              <w:rPr>
                <w:color w:val="000000" w:themeColor="text1"/>
              </w:rPr>
              <w:t>1</w:t>
            </w:r>
            <w:r w:rsidR="003D3E15" w:rsidRPr="009F2F09">
              <w:rPr>
                <w:color w:val="000000" w:themeColor="text1"/>
              </w:rPr>
              <w:t>6</w:t>
            </w:r>
            <w:r w:rsidRPr="009F2F09">
              <w:rPr>
                <w:color w:val="000000" w:themeColor="text1"/>
              </w:rPr>
              <w:t>.</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Voor eventueel gebruik van een zogenaamd confetti kanon dient tijdig en afzonderlijk ontheffing te worden aangevraagd bij het College van Burgemeester en Wethouders van de Gemeente Peel en Maas.</w:t>
            </w:r>
            <w:r w:rsidR="00EB3611"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EB3611" w:rsidP="00EB3611">
            <w:pPr>
              <w:rPr>
                <w:color w:val="000000" w:themeColor="text1"/>
              </w:rPr>
            </w:pPr>
            <w:r w:rsidRPr="009F2F09">
              <w:rPr>
                <w:color w:val="000000" w:themeColor="text1"/>
              </w:rPr>
              <w:t>1</w:t>
            </w:r>
            <w:r w:rsidR="003D3E15" w:rsidRPr="009F2F09">
              <w:rPr>
                <w:color w:val="000000" w:themeColor="text1"/>
              </w:rPr>
              <w:t>7</w:t>
            </w:r>
            <w:r w:rsidRPr="009F2F09">
              <w:rPr>
                <w:color w:val="000000" w:themeColor="text1"/>
              </w:rPr>
              <w:t>.</w:t>
            </w:r>
            <w:r w:rsidR="00D659B6" w:rsidRPr="009F2F09">
              <w:rPr>
                <w:color w:val="000000" w:themeColor="text1"/>
              </w:rPr>
              <w:t>   </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 xml:space="preserve">Het is verboden tijdens de optocht een door benzine aangedreven aggregaat te gebruiken. De stroomvoorziening op de wagen dient bij voorkeur laagspanning te zijn (12 of 24 Volt) of een dieselaggregaat (220 Volt), die gebruik maakt van een zwevend net en is voorzien van een deugdelijke lekstroombeveiliging. Het gebruik van een aggregaat dient op het inschrijfformulier vermeld te worden zodat dit door de optochtcommissie kan worden gecontroleerd. </w:t>
            </w:r>
            <w:r w:rsidR="00333437" w:rsidRPr="009F2F09">
              <w:rPr>
                <w:color w:val="000000" w:themeColor="text1"/>
              </w:rPr>
              <w:br/>
              <w:t xml:space="preserve">Het bijvullen van aggregaten tijdens de optocht is </w:t>
            </w:r>
            <w:r w:rsidR="00333437" w:rsidRPr="00F34A62">
              <w:rPr>
                <w:b/>
                <w:color w:val="000000" w:themeColor="text1"/>
              </w:rPr>
              <w:t xml:space="preserve">NIET </w:t>
            </w:r>
            <w:r w:rsidR="00333437" w:rsidRPr="009F2F09">
              <w:rPr>
                <w:color w:val="000000" w:themeColor="text1"/>
              </w:rPr>
              <w:t>toegestaan.</w:t>
            </w:r>
            <w:r w:rsidR="00EB3611"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EB3611" w:rsidP="00EB3611">
            <w:pPr>
              <w:rPr>
                <w:color w:val="000000" w:themeColor="text1"/>
              </w:rPr>
            </w:pPr>
            <w:r w:rsidRPr="009F2F09">
              <w:rPr>
                <w:color w:val="000000" w:themeColor="text1"/>
              </w:rPr>
              <w:t>1</w:t>
            </w:r>
            <w:r w:rsidR="003D3E15" w:rsidRPr="009F2F09">
              <w:rPr>
                <w:color w:val="000000" w:themeColor="text1"/>
              </w:rPr>
              <w:t>8</w:t>
            </w:r>
            <w:r w:rsidRPr="009F2F09">
              <w:rPr>
                <w:color w:val="000000" w:themeColor="text1"/>
              </w:rPr>
              <w:t>.</w:t>
            </w:r>
            <w:r w:rsidR="00D659B6" w:rsidRPr="009F2F09">
              <w:rPr>
                <w:color w:val="000000" w:themeColor="text1"/>
              </w:rPr>
              <w:t>  </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Open vuur, gasflessen of een kachel is op of bij de wagen verboden.</w:t>
            </w:r>
          </w:p>
          <w:p w:rsidR="00D659B6" w:rsidRPr="009F2F09" w:rsidRDefault="00D659B6" w:rsidP="00EB3611">
            <w:pPr>
              <w:rPr>
                <w:color w:val="000000" w:themeColor="text1"/>
              </w:rPr>
            </w:pP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333437" w:rsidP="00EB3611">
            <w:pPr>
              <w:rPr>
                <w:color w:val="000000" w:themeColor="text1"/>
              </w:rPr>
            </w:pPr>
            <w:r w:rsidRPr="009F2F09">
              <w:rPr>
                <w:color w:val="000000" w:themeColor="text1"/>
              </w:rPr>
              <w:t>1</w:t>
            </w:r>
            <w:r w:rsidR="003D3E15" w:rsidRPr="009F2F09">
              <w:rPr>
                <w:color w:val="000000" w:themeColor="text1"/>
              </w:rPr>
              <w:t>9</w:t>
            </w:r>
            <w:r w:rsidRPr="009F2F09">
              <w:rPr>
                <w:color w:val="000000" w:themeColor="text1"/>
              </w:rPr>
              <w:t>.</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Het is verboden op de weg of andere openbare en/of publieke eigendommen met kalk, krijt, teer of een kleur- of verfstof of enig ander materiaal, enige afbeelding, letter, cijfer of teken aan te brengen.</w:t>
            </w:r>
            <w:r w:rsidR="00333437"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3D3E15" w:rsidP="00EB3611">
            <w:pPr>
              <w:rPr>
                <w:color w:val="000000" w:themeColor="text1"/>
              </w:rPr>
            </w:pPr>
            <w:r w:rsidRPr="009F2F09">
              <w:rPr>
                <w:color w:val="000000" w:themeColor="text1"/>
              </w:rPr>
              <w:t>20</w:t>
            </w:r>
            <w:r w:rsidR="00333437" w:rsidRPr="009F2F09">
              <w:rPr>
                <w:color w:val="000000" w:themeColor="text1"/>
              </w:rPr>
              <w:t>.</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Deelname aan de optocht mag geen commercieel belang behartigen.</w:t>
            </w:r>
            <w:r w:rsidR="00333437"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333437" w:rsidP="00EB3611">
            <w:pPr>
              <w:rPr>
                <w:color w:val="000000" w:themeColor="text1"/>
              </w:rPr>
            </w:pPr>
            <w:r w:rsidRPr="009F2F09">
              <w:rPr>
                <w:color w:val="000000" w:themeColor="text1"/>
              </w:rPr>
              <w:t>2</w:t>
            </w:r>
            <w:r w:rsidR="003D3E15" w:rsidRPr="009F2F09">
              <w:rPr>
                <w:color w:val="000000" w:themeColor="text1"/>
              </w:rPr>
              <w:t>1</w:t>
            </w:r>
            <w:r w:rsidRPr="009F2F09">
              <w:rPr>
                <w:color w:val="000000" w:themeColor="text1"/>
              </w:rPr>
              <w:t>.</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Alle deelnemende voertuigen en aanhangers dienen</w:t>
            </w:r>
            <w:r w:rsidR="00333437" w:rsidRPr="009F2F09">
              <w:rPr>
                <w:color w:val="000000" w:themeColor="text1"/>
              </w:rPr>
              <w:t>:</w:t>
            </w:r>
            <w:r w:rsidR="00333437" w:rsidRPr="009F2F09">
              <w:rPr>
                <w:color w:val="000000" w:themeColor="text1"/>
              </w:rPr>
              <w:br/>
              <w:t>* te</w:t>
            </w:r>
            <w:r w:rsidRPr="009F2F09">
              <w:rPr>
                <w:color w:val="000000" w:themeColor="text1"/>
              </w:rPr>
              <w:t xml:space="preserve"> voldoen aan alle technische eisen welke daarvoor in de </w:t>
            </w:r>
            <w:proofErr w:type="spellStart"/>
            <w:r w:rsidRPr="009F2F09">
              <w:rPr>
                <w:color w:val="000000" w:themeColor="text1"/>
              </w:rPr>
              <w:t>Wegenverkeers</w:t>
            </w:r>
            <w:proofErr w:type="spellEnd"/>
            <w:r w:rsidR="00333437" w:rsidRPr="009F2F09">
              <w:rPr>
                <w:color w:val="000000" w:themeColor="text1"/>
              </w:rPr>
              <w:t>-</w:t>
            </w:r>
            <w:r w:rsidR="00333437" w:rsidRPr="009F2F09">
              <w:rPr>
                <w:color w:val="000000" w:themeColor="text1"/>
              </w:rPr>
              <w:br/>
              <w:t xml:space="preserve">  </w:t>
            </w:r>
            <w:r w:rsidRPr="009F2F09">
              <w:rPr>
                <w:color w:val="000000" w:themeColor="text1"/>
              </w:rPr>
              <w:t>wetgeving zijn gesteld</w:t>
            </w:r>
            <w:r w:rsidR="00333437" w:rsidRPr="009F2F09">
              <w:rPr>
                <w:color w:val="000000" w:themeColor="text1"/>
              </w:rPr>
              <w:t>;</w:t>
            </w:r>
            <w:r w:rsidRPr="009F2F09">
              <w:rPr>
                <w:color w:val="000000" w:themeColor="text1"/>
              </w:rPr>
              <w:t xml:space="preserve"> </w:t>
            </w:r>
          </w:p>
          <w:p w:rsidR="00D659B6" w:rsidRPr="009F2F09" w:rsidRDefault="00333437" w:rsidP="00EB3611">
            <w:pPr>
              <w:rPr>
                <w:color w:val="000000" w:themeColor="text1"/>
              </w:rPr>
            </w:pPr>
            <w:r w:rsidRPr="009F2F09">
              <w:rPr>
                <w:color w:val="000000" w:themeColor="text1"/>
              </w:rPr>
              <w:t>* de voertuigen WA verzekerd te zijn d</w:t>
            </w:r>
            <w:r w:rsidR="00D659B6" w:rsidRPr="009F2F09">
              <w:rPr>
                <w:color w:val="000000" w:themeColor="text1"/>
              </w:rPr>
              <w:t>oor de respectievelijke eigenaar(s),</w:t>
            </w:r>
            <w:r w:rsidRPr="009F2F09">
              <w:rPr>
                <w:color w:val="000000" w:themeColor="text1"/>
              </w:rPr>
              <w:br/>
              <w:t xml:space="preserve">  </w:t>
            </w:r>
            <w:r w:rsidR="00D659B6" w:rsidRPr="009F2F09">
              <w:rPr>
                <w:color w:val="000000" w:themeColor="text1"/>
              </w:rPr>
              <w:t xml:space="preserve">houder(s), overeenkomstig de Wet Aansprakelijkheidsverzekering </w:t>
            </w:r>
            <w:r w:rsidRPr="009F2F09">
              <w:rPr>
                <w:color w:val="000000" w:themeColor="text1"/>
              </w:rPr>
              <w:br/>
              <w:t xml:space="preserve">  </w:t>
            </w:r>
            <w:r w:rsidR="00D659B6" w:rsidRPr="009F2F09">
              <w:rPr>
                <w:color w:val="000000" w:themeColor="text1"/>
              </w:rPr>
              <w:t>Motorvoertuigen</w:t>
            </w:r>
            <w:r w:rsidRPr="009F2F09">
              <w:rPr>
                <w:color w:val="000000" w:themeColor="text1"/>
              </w:rPr>
              <w:t>;</w:t>
            </w:r>
            <w:r w:rsidR="00D659B6" w:rsidRPr="009F2F09">
              <w:rPr>
                <w:color w:val="000000" w:themeColor="text1"/>
              </w:rPr>
              <w:t xml:space="preserve">. </w:t>
            </w:r>
            <w:r w:rsidRPr="009F2F09">
              <w:rPr>
                <w:color w:val="000000" w:themeColor="text1"/>
              </w:rPr>
              <w:br/>
              <w:t xml:space="preserve">  </w:t>
            </w:r>
            <w:r w:rsidR="00D659B6" w:rsidRPr="009F2F09">
              <w:rPr>
                <w:color w:val="000000" w:themeColor="text1"/>
              </w:rPr>
              <w:t xml:space="preserve">Eigenaar(s), houder(s) dienen vooraf bij hun verzekeringsmaatschappij te </w:t>
            </w:r>
            <w:r w:rsidRPr="009F2F09">
              <w:rPr>
                <w:color w:val="000000" w:themeColor="text1"/>
              </w:rPr>
              <w:br/>
              <w:t xml:space="preserve">  </w:t>
            </w:r>
            <w:r w:rsidR="00D659B6" w:rsidRPr="009F2F09">
              <w:rPr>
                <w:color w:val="000000" w:themeColor="text1"/>
              </w:rPr>
              <w:t xml:space="preserve">informeren of zij tijdens het deelnemen met het motorvoertuig aan de </w:t>
            </w:r>
            <w:r w:rsidRPr="009F2F09">
              <w:rPr>
                <w:color w:val="000000" w:themeColor="text1"/>
              </w:rPr>
              <w:br/>
              <w:t xml:space="preserve">  </w:t>
            </w:r>
            <w:r w:rsidR="00D659B6" w:rsidRPr="009F2F09">
              <w:rPr>
                <w:color w:val="000000" w:themeColor="text1"/>
              </w:rPr>
              <w:t xml:space="preserve">carnavalsoptocht WA verzekerd zijn. </w:t>
            </w:r>
          </w:p>
          <w:p w:rsidR="00D659B6" w:rsidRPr="009F2F09" w:rsidRDefault="00D659B6" w:rsidP="00EB3611">
            <w:pPr>
              <w:rPr>
                <w:color w:val="000000" w:themeColor="text1"/>
              </w:rPr>
            </w:pPr>
            <w:r w:rsidRPr="009F2F09">
              <w:rPr>
                <w:color w:val="000000" w:themeColor="text1"/>
              </w:rPr>
              <w:t>*</w:t>
            </w:r>
            <w:r w:rsidR="00333437" w:rsidRPr="009F2F09">
              <w:rPr>
                <w:color w:val="000000" w:themeColor="text1"/>
              </w:rPr>
              <w:t xml:space="preserve"> t</w:t>
            </w:r>
            <w:r w:rsidRPr="009F2F09">
              <w:rPr>
                <w:color w:val="000000" w:themeColor="text1"/>
              </w:rPr>
              <w:t xml:space="preserve">ijdens de optocht bestuurd te worden door daartoe bevoegde en bekwame </w:t>
            </w:r>
            <w:r w:rsidR="00333437" w:rsidRPr="009F2F09">
              <w:rPr>
                <w:color w:val="000000" w:themeColor="text1"/>
              </w:rPr>
              <w:br/>
              <w:t xml:space="preserve">  </w:t>
            </w:r>
            <w:r w:rsidRPr="009F2F09">
              <w:rPr>
                <w:color w:val="000000" w:themeColor="text1"/>
              </w:rPr>
              <w:t>personen door de wet erkend</w:t>
            </w:r>
            <w:r w:rsidR="00333437" w:rsidRPr="009F2F09">
              <w:rPr>
                <w:color w:val="000000" w:themeColor="text1"/>
              </w:rPr>
              <w:t>;</w:t>
            </w:r>
            <w:r w:rsidR="00333437"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333437" w:rsidP="00EB3611">
            <w:pPr>
              <w:rPr>
                <w:color w:val="000000" w:themeColor="text1"/>
              </w:rPr>
            </w:pPr>
            <w:r w:rsidRPr="009F2F09">
              <w:rPr>
                <w:color w:val="000000" w:themeColor="text1"/>
              </w:rPr>
              <w:lastRenderedPageBreak/>
              <w:t>2</w:t>
            </w:r>
            <w:r w:rsidR="003D3E15" w:rsidRPr="009F2F09">
              <w:rPr>
                <w:color w:val="000000" w:themeColor="text1"/>
              </w:rPr>
              <w:t>2</w:t>
            </w:r>
            <w:r w:rsidRPr="009F2F09">
              <w:rPr>
                <w:color w:val="000000" w:themeColor="text1"/>
              </w:rPr>
              <w:t>.</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 xml:space="preserve">Bijzondere bepalingen carnavalswagens; </w:t>
            </w:r>
          </w:p>
          <w:p w:rsidR="00D659B6" w:rsidRPr="009F2F09" w:rsidRDefault="00D659B6" w:rsidP="00EB3611">
            <w:pPr>
              <w:rPr>
                <w:color w:val="000000" w:themeColor="text1"/>
              </w:rPr>
            </w:pPr>
            <w:r w:rsidRPr="009F2F09">
              <w:rPr>
                <w:color w:val="000000" w:themeColor="text1"/>
              </w:rPr>
              <w:t>* </w:t>
            </w:r>
            <w:r w:rsidR="00333437" w:rsidRPr="009F2F09">
              <w:rPr>
                <w:color w:val="000000" w:themeColor="text1"/>
              </w:rPr>
              <w:t>e</w:t>
            </w:r>
            <w:r w:rsidRPr="009F2F09">
              <w:rPr>
                <w:color w:val="000000" w:themeColor="text1"/>
              </w:rPr>
              <w:t xml:space="preserve">en wagen dient zich met een dusdanige snelheid te kunnen voortbewegen, </w:t>
            </w:r>
            <w:r w:rsidR="00333437" w:rsidRPr="009F2F09">
              <w:rPr>
                <w:color w:val="000000" w:themeColor="text1"/>
              </w:rPr>
              <w:br/>
              <w:t xml:space="preserve">  </w:t>
            </w:r>
            <w:r w:rsidRPr="009F2F09">
              <w:rPr>
                <w:color w:val="000000" w:themeColor="text1"/>
              </w:rPr>
              <w:t>dat de optocht geen vertraging ondervindt</w:t>
            </w:r>
            <w:r w:rsidR="00333437" w:rsidRPr="009F2F09">
              <w:rPr>
                <w:color w:val="000000" w:themeColor="text1"/>
              </w:rPr>
              <w:t>;</w:t>
            </w:r>
            <w:r w:rsidRPr="009F2F09">
              <w:rPr>
                <w:color w:val="000000" w:themeColor="text1"/>
              </w:rPr>
              <w:t xml:space="preserve"> </w:t>
            </w:r>
          </w:p>
          <w:p w:rsidR="00D659B6" w:rsidRPr="009F2F09" w:rsidRDefault="00D659B6" w:rsidP="00EB3611">
            <w:pPr>
              <w:rPr>
                <w:color w:val="000000" w:themeColor="text1"/>
              </w:rPr>
            </w:pPr>
            <w:r w:rsidRPr="009F2F09">
              <w:rPr>
                <w:color w:val="000000" w:themeColor="text1"/>
              </w:rPr>
              <w:t>* </w:t>
            </w:r>
            <w:r w:rsidR="00333437" w:rsidRPr="009F2F09">
              <w:rPr>
                <w:color w:val="000000" w:themeColor="text1"/>
              </w:rPr>
              <w:t>d</w:t>
            </w:r>
            <w:r w:rsidRPr="009F2F09">
              <w:rPr>
                <w:color w:val="000000" w:themeColor="text1"/>
              </w:rPr>
              <w:t>e wendbaarheid dient zodanig te zijn, dat alle bochten op de route zonder</w:t>
            </w:r>
            <w:r w:rsidR="00333437" w:rsidRPr="009F2F09">
              <w:rPr>
                <w:color w:val="000000" w:themeColor="text1"/>
              </w:rPr>
              <w:br/>
              <w:t xml:space="preserve"> </w:t>
            </w:r>
            <w:r w:rsidRPr="009F2F09">
              <w:rPr>
                <w:color w:val="000000" w:themeColor="text1"/>
              </w:rPr>
              <w:t xml:space="preserve"> stagnatie genomen kunnen worden</w:t>
            </w:r>
            <w:r w:rsidR="00333437" w:rsidRPr="009F2F09">
              <w:rPr>
                <w:color w:val="000000" w:themeColor="text1"/>
              </w:rPr>
              <w:t>;</w:t>
            </w:r>
            <w:r w:rsidRPr="009F2F09">
              <w:rPr>
                <w:color w:val="000000" w:themeColor="text1"/>
              </w:rPr>
              <w:t xml:space="preserve"> </w:t>
            </w:r>
          </w:p>
          <w:p w:rsidR="00D659B6" w:rsidRPr="009F2F09" w:rsidRDefault="00D659B6" w:rsidP="00EB3611">
            <w:pPr>
              <w:rPr>
                <w:color w:val="000000" w:themeColor="text1"/>
              </w:rPr>
            </w:pPr>
            <w:r w:rsidRPr="009F2F09">
              <w:rPr>
                <w:color w:val="000000" w:themeColor="text1"/>
              </w:rPr>
              <w:t>* </w:t>
            </w:r>
            <w:r w:rsidR="00333437" w:rsidRPr="009F2F09">
              <w:rPr>
                <w:color w:val="000000" w:themeColor="text1"/>
              </w:rPr>
              <w:t>d</w:t>
            </w:r>
            <w:r w:rsidRPr="009F2F09">
              <w:rPr>
                <w:color w:val="000000" w:themeColor="text1"/>
              </w:rPr>
              <w:t>e maximale hoogte is 4.00 meter boven het wegdek</w:t>
            </w:r>
            <w:r w:rsidR="00333437" w:rsidRPr="009F2F09">
              <w:rPr>
                <w:color w:val="000000" w:themeColor="text1"/>
              </w:rPr>
              <w:t>;</w:t>
            </w:r>
            <w:r w:rsidRPr="009F2F09">
              <w:rPr>
                <w:color w:val="000000" w:themeColor="text1"/>
              </w:rPr>
              <w:t xml:space="preserve"> </w:t>
            </w:r>
          </w:p>
          <w:p w:rsidR="00D659B6" w:rsidRPr="009F2F09" w:rsidRDefault="00D659B6" w:rsidP="00EB3611">
            <w:pPr>
              <w:rPr>
                <w:color w:val="000000" w:themeColor="text1"/>
              </w:rPr>
            </w:pPr>
            <w:r w:rsidRPr="009F2F09">
              <w:rPr>
                <w:color w:val="000000" w:themeColor="text1"/>
              </w:rPr>
              <w:t>* </w:t>
            </w:r>
            <w:r w:rsidR="00333437" w:rsidRPr="009F2F09">
              <w:rPr>
                <w:color w:val="000000" w:themeColor="text1"/>
              </w:rPr>
              <w:t>e</w:t>
            </w:r>
            <w:r w:rsidRPr="009F2F09">
              <w:rPr>
                <w:color w:val="000000" w:themeColor="text1"/>
              </w:rPr>
              <w:t xml:space="preserve">en wagen of combinatie van motorvoertuig en wagen dient voorzien te zijn </w:t>
            </w:r>
            <w:r w:rsidR="00333437" w:rsidRPr="009F2F09">
              <w:rPr>
                <w:color w:val="000000" w:themeColor="text1"/>
              </w:rPr>
              <w:br/>
              <w:t xml:space="preserve">  </w:t>
            </w:r>
            <w:r w:rsidRPr="009F2F09">
              <w:rPr>
                <w:color w:val="000000" w:themeColor="text1"/>
              </w:rPr>
              <w:t>van een deugdelijke reminrichting</w:t>
            </w:r>
            <w:r w:rsidR="00333437" w:rsidRPr="009F2F09">
              <w:rPr>
                <w:color w:val="000000" w:themeColor="text1"/>
              </w:rPr>
              <w:t>;</w:t>
            </w:r>
            <w:r w:rsidRPr="009F2F09">
              <w:rPr>
                <w:color w:val="000000" w:themeColor="text1"/>
              </w:rPr>
              <w:t xml:space="preserve"> </w:t>
            </w:r>
          </w:p>
          <w:p w:rsidR="00D659B6" w:rsidRPr="009F2F09" w:rsidRDefault="00D659B6" w:rsidP="00EB3611">
            <w:pPr>
              <w:rPr>
                <w:color w:val="000000" w:themeColor="text1"/>
              </w:rPr>
            </w:pPr>
            <w:r w:rsidRPr="009F2F09">
              <w:rPr>
                <w:color w:val="000000" w:themeColor="text1"/>
              </w:rPr>
              <w:t>* </w:t>
            </w:r>
            <w:r w:rsidR="00333437" w:rsidRPr="009F2F09">
              <w:rPr>
                <w:color w:val="000000" w:themeColor="text1"/>
              </w:rPr>
              <w:t>e</w:t>
            </w:r>
            <w:r w:rsidRPr="009F2F09">
              <w:rPr>
                <w:color w:val="000000" w:themeColor="text1"/>
              </w:rPr>
              <w:t xml:space="preserve">en wagen dient zo deugdelijk gebouwd te zijn, dat hij geen gevaar kan </w:t>
            </w:r>
            <w:r w:rsidR="00333437" w:rsidRPr="009F2F09">
              <w:rPr>
                <w:color w:val="000000" w:themeColor="text1"/>
              </w:rPr>
              <w:br/>
              <w:t xml:space="preserve">  </w:t>
            </w:r>
            <w:r w:rsidRPr="009F2F09">
              <w:rPr>
                <w:color w:val="000000" w:themeColor="text1"/>
              </w:rPr>
              <w:t>opleveren voor deelnemers en publiek</w:t>
            </w:r>
            <w:r w:rsidR="00333437" w:rsidRPr="009F2F09">
              <w:rPr>
                <w:color w:val="000000" w:themeColor="text1"/>
              </w:rPr>
              <w:t>;</w:t>
            </w:r>
            <w:r w:rsidRPr="009F2F09">
              <w:rPr>
                <w:color w:val="000000" w:themeColor="text1"/>
              </w:rPr>
              <w:t xml:space="preserve"> </w:t>
            </w:r>
          </w:p>
          <w:p w:rsidR="00D659B6" w:rsidRPr="009F2F09" w:rsidRDefault="00D659B6" w:rsidP="00EB3611">
            <w:pPr>
              <w:rPr>
                <w:color w:val="000000" w:themeColor="text1"/>
              </w:rPr>
            </w:pPr>
            <w:r w:rsidRPr="009F2F09">
              <w:rPr>
                <w:color w:val="000000" w:themeColor="text1"/>
              </w:rPr>
              <w:t>* </w:t>
            </w:r>
            <w:r w:rsidR="00333437" w:rsidRPr="009F2F09">
              <w:rPr>
                <w:color w:val="000000" w:themeColor="text1"/>
              </w:rPr>
              <w:t>v</w:t>
            </w:r>
            <w:r w:rsidRPr="009F2F09">
              <w:rPr>
                <w:color w:val="000000" w:themeColor="text1"/>
              </w:rPr>
              <w:t xml:space="preserve">oor de bestuurder dient vanaf de bestuurdersplaats het wegdek over de volle </w:t>
            </w:r>
            <w:r w:rsidR="00333437" w:rsidRPr="009F2F09">
              <w:rPr>
                <w:color w:val="000000" w:themeColor="text1"/>
              </w:rPr>
              <w:br/>
              <w:t xml:space="preserve">  </w:t>
            </w:r>
            <w:r w:rsidRPr="009F2F09">
              <w:rPr>
                <w:color w:val="000000" w:themeColor="text1"/>
              </w:rPr>
              <w:t xml:space="preserve">breedte zichtbaar te zijn op een afstand van drie meter vanaf het voorste punt </w:t>
            </w:r>
            <w:r w:rsidR="00333437" w:rsidRPr="009F2F09">
              <w:rPr>
                <w:color w:val="000000" w:themeColor="text1"/>
              </w:rPr>
              <w:br/>
              <w:t xml:space="preserve">  </w:t>
            </w:r>
            <w:r w:rsidRPr="009F2F09">
              <w:rPr>
                <w:color w:val="000000" w:themeColor="text1"/>
              </w:rPr>
              <w:t>van de wagen</w:t>
            </w:r>
            <w:r w:rsidR="00333437" w:rsidRPr="009F2F09">
              <w:rPr>
                <w:color w:val="000000" w:themeColor="text1"/>
              </w:rPr>
              <w:t>;</w:t>
            </w:r>
            <w:r w:rsidRPr="009F2F09">
              <w:rPr>
                <w:color w:val="000000" w:themeColor="text1"/>
              </w:rPr>
              <w:t xml:space="preserve"> </w:t>
            </w:r>
          </w:p>
          <w:p w:rsidR="00D659B6" w:rsidRPr="009F2F09" w:rsidRDefault="00D659B6" w:rsidP="00EB3611">
            <w:pPr>
              <w:rPr>
                <w:color w:val="000000" w:themeColor="text1"/>
              </w:rPr>
            </w:pPr>
            <w:r w:rsidRPr="009F2F09">
              <w:rPr>
                <w:color w:val="000000" w:themeColor="text1"/>
              </w:rPr>
              <w:t>* </w:t>
            </w:r>
            <w:r w:rsidR="00333437" w:rsidRPr="009F2F09">
              <w:rPr>
                <w:color w:val="000000" w:themeColor="text1"/>
              </w:rPr>
              <w:t>w</w:t>
            </w:r>
            <w:r w:rsidRPr="009F2F09">
              <w:rPr>
                <w:color w:val="000000" w:themeColor="text1"/>
              </w:rPr>
              <w:t xml:space="preserve">ielen dienen vanaf 30 cm vanaf het wegdek afgeschermd te zijn, behalve bij </w:t>
            </w:r>
            <w:r w:rsidR="00333437" w:rsidRPr="009F2F09">
              <w:rPr>
                <w:color w:val="000000" w:themeColor="text1"/>
              </w:rPr>
              <w:br/>
              <w:t xml:space="preserve">  </w:t>
            </w:r>
            <w:r w:rsidRPr="009F2F09">
              <w:rPr>
                <w:color w:val="000000" w:themeColor="text1"/>
              </w:rPr>
              <w:t>trekker en auto</w:t>
            </w:r>
            <w:r w:rsidR="00333437" w:rsidRPr="009F2F09">
              <w:rPr>
                <w:color w:val="000000" w:themeColor="text1"/>
              </w:rPr>
              <w:t>;</w:t>
            </w:r>
            <w:r w:rsidRPr="009F2F09">
              <w:rPr>
                <w:color w:val="000000" w:themeColor="text1"/>
              </w:rPr>
              <w:t xml:space="preserve"> </w:t>
            </w:r>
          </w:p>
          <w:p w:rsidR="00D659B6" w:rsidRPr="009F2F09" w:rsidRDefault="00D659B6" w:rsidP="00EB3611">
            <w:pPr>
              <w:rPr>
                <w:color w:val="000000" w:themeColor="text1"/>
              </w:rPr>
            </w:pPr>
            <w:r w:rsidRPr="009F2F09">
              <w:rPr>
                <w:color w:val="000000" w:themeColor="text1"/>
              </w:rPr>
              <w:t>* </w:t>
            </w:r>
            <w:r w:rsidR="00333437" w:rsidRPr="009F2F09">
              <w:rPr>
                <w:color w:val="000000" w:themeColor="text1"/>
              </w:rPr>
              <w:t>s</w:t>
            </w:r>
            <w:r w:rsidRPr="009F2F09">
              <w:rPr>
                <w:color w:val="000000" w:themeColor="text1"/>
              </w:rPr>
              <w:t xml:space="preserve">cherm zoveel mogelijk zit- en staanplaatsen af om ongelukken te voorkomen. </w:t>
            </w:r>
          </w:p>
          <w:p w:rsidR="00D659B6" w:rsidRPr="009F2F09" w:rsidRDefault="00D659B6" w:rsidP="00EB3611">
            <w:pPr>
              <w:rPr>
                <w:color w:val="000000" w:themeColor="text1"/>
              </w:rPr>
            </w:pPr>
            <w:r w:rsidRPr="009F2F09">
              <w:rPr>
                <w:color w:val="000000" w:themeColor="text1"/>
              </w:rPr>
              <w:t>* </w:t>
            </w:r>
            <w:r w:rsidR="00333437" w:rsidRPr="009F2F09">
              <w:rPr>
                <w:color w:val="000000" w:themeColor="text1"/>
              </w:rPr>
              <w:t>v</w:t>
            </w:r>
            <w:r w:rsidRPr="009F2F09">
              <w:rPr>
                <w:color w:val="000000" w:themeColor="text1"/>
              </w:rPr>
              <w:t xml:space="preserve">erplicht is het, dat in de optocht voldoende brandblusmiddelen worden </w:t>
            </w:r>
            <w:r w:rsidR="003D3E15" w:rsidRPr="009F2F09">
              <w:rPr>
                <w:color w:val="000000" w:themeColor="text1"/>
              </w:rPr>
              <w:br/>
              <w:t xml:space="preserve">  </w:t>
            </w:r>
            <w:r w:rsidRPr="009F2F09">
              <w:rPr>
                <w:color w:val="000000" w:themeColor="text1"/>
              </w:rPr>
              <w:t>meegevoerd</w:t>
            </w:r>
            <w:r w:rsidR="003D3E15" w:rsidRPr="009F2F09">
              <w:rPr>
                <w:color w:val="000000" w:themeColor="text1"/>
              </w:rPr>
              <w:t>;</w:t>
            </w:r>
            <w:r w:rsidR="003D3E15" w:rsidRPr="009F2F09">
              <w:rPr>
                <w:color w:val="000000" w:themeColor="text1"/>
              </w:rPr>
              <w:br/>
              <w:t xml:space="preserve"> </w:t>
            </w:r>
            <w:r w:rsidRPr="009F2F09">
              <w:rPr>
                <w:color w:val="000000" w:themeColor="text1"/>
              </w:rPr>
              <w:t xml:space="preserve"> Bij voorkeur is ieder voertuig voorzien van een brandblusapparaat.</w:t>
            </w:r>
          </w:p>
          <w:p w:rsidR="00D659B6" w:rsidRPr="009F2F09" w:rsidRDefault="00D659B6" w:rsidP="00EB3611">
            <w:pPr>
              <w:rPr>
                <w:color w:val="000000" w:themeColor="text1"/>
              </w:rPr>
            </w:pPr>
            <w:r w:rsidRPr="009F2F09">
              <w:rPr>
                <w:color w:val="000000" w:themeColor="text1"/>
              </w:rPr>
              <w:t>*</w:t>
            </w:r>
            <w:r w:rsidR="003D3E15" w:rsidRPr="009F2F09">
              <w:rPr>
                <w:color w:val="000000" w:themeColor="text1"/>
              </w:rPr>
              <w:t xml:space="preserve"> t</w:t>
            </w:r>
            <w:r w:rsidRPr="009F2F09">
              <w:rPr>
                <w:color w:val="000000" w:themeColor="text1"/>
              </w:rPr>
              <w:t>ussen het trekkend voertuig en de wagen moet een veiligheidsketting zitten</w:t>
            </w:r>
            <w:r w:rsidR="003D3E15" w:rsidRPr="009F2F09">
              <w:rPr>
                <w:color w:val="000000" w:themeColor="text1"/>
              </w:rPr>
              <w:t>;</w:t>
            </w:r>
            <w:r w:rsidR="003D3E15"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3D3E15" w:rsidP="00EB3611">
            <w:pPr>
              <w:rPr>
                <w:color w:val="000000" w:themeColor="text1"/>
              </w:rPr>
            </w:pPr>
            <w:r w:rsidRPr="009F2F09">
              <w:rPr>
                <w:color w:val="000000" w:themeColor="text1"/>
              </w:rPr>
              <w:t>23.</w:t>
            </w:r>
          </w:p>
          <w:p w:rsidR="003D3E15" w:rsidRPr="009F2F09" w:rsidRDefault="003D3E15" w:rsidP="00EB3611">
            <w:pPr>
              <w:rPr>
                <w:color w:val="000000" w:themeColor="text1"/>
              </w:rPr>
            </w:pPr>
          </w:p>
          <w:p w:rsidR="003D3E15" w:rsidRPr="009F2F09" w:rsidRDefault="003D3E15" w:rsidP="00EB3611">
            <w:pPr>
              <w:rPr>
                <w:color w:val="000000" w:themeColor="text1"/>
              </w:rPr>
            </w:pPr>
          </w:p>
          <w:p w:rsidR="003D3E15" w:rsidRPr="009F2F09" w:rsidRDefault="003D3E15" w:rsidP="00EB3611">
            <w:pPr>
              <w:rPr>
                <w:color w:val="000000" w:themeColor="text1"/>
              </w:rPr>
            </w:pPr>
          </w:p>
          <w:p w:rsidR="003D3E15" w:rsidRPr="009F2F09" w:rsidRDefault="003D3E15" w:rsidP="00EB3611">
            <w:pPr>
              <w:rPr>
                <w:color w:val="000000" w:themeColor="text1"/>
              </w:rPr>
            </w:pPr>
            <w:r w:rsidRPr="009F2F09">
              <w:rPr>
                <w:color w:val="000000" w:themeColor="text1"/>
              </w:rPr>
              <w:t>24.</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De optochtcommissie behoudt zich het recht voor om ten aller tijden, schade veroorzaakt door deelnemer(s), waarvoor de optochtcommissie  aansprakelijk wordt gesteld, te verhalen op de veroorzaker(s) van de schade.</w:t>
            </w:r>
            <w:r w:rsidR="003D3E15" w:rsidRPr="009F2F09">
              <w:rPr>
                <w:color w:val="000000" w:themeColor="text1"/>
              </w:rPr>
              <w:br/>
            </w:r>
            <w:r w:rsidR="003D3E15" w:rsidRPr="009F2F09">
              <w:rPr>
                <w:color w:val="000000" w:themeColor="text1"/>
              </w:rPr>
              <w:br/>
              <w:t>Om in aanmerking te komen voor een eventuele prijs, dient een afvaardiging van de groep aanwezig te zijn bij de prijsuitreiking in de Wieksjlaag in Beringe. Niet aanwezig betekent dus geen prijs.</w:t>
            </w:r>
            <w:r w:rsidR="003D3E15"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3D3E15" w:rsidP="00EB3611">
            <w:pPr>
              <w:rPr>
                <w:color w:val="000000" w:themeColor="text1"/>
              </w:rPr>
            </w:pPr>
            <w:r w:rsidRPr="009F2F09">
              <w:rPr>
                <w:color w:val="000000" w:themeColor="text1"/>
              </w:rPr>
              <w:t>25.</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De uitspraak van de jury is bindend.</w:t>
            </w:r>
            <w:r w:rsidR="003D3E15" w:rsidRPr="009F2F09">
              <w:rPr>
                <w:color w:val="000000" w:themeColor="text1"/>
              </w:rPr>
              <w:br/>
            </w:r>
          </w:p>
        </w:tc>
      </w:tr>
      <w:tr w:rsidR="009F2F09" w:rsidRPr="009F2F09" w:rsidTr="00B574D4">
        <w:trPr>
          <w:tblCellSpacing w:w="15" w:type="dxa"/>
        </w:trPr>
        <w:tc>
          <w:tcPr>
            <w:tcW w:w="520" w:type="dxa"/>
            <w:tcMar>
              <w:top w:w="15" w:type="dxa"/>
              <w:left w:w="15" w:type="dxa"/>
              <w:bottom w:w="15" w:type="dxa"/>
              <w:right w:w="15" w:type="dxa"/>
            </w:tcMar>
          </w:tcPr>
          <w:p w:rsidR="00D659B6" w:rsidRPr="009F2F09" w:rsidRDefault="003D3E15" w:rsidP="00EB3611">
            <w:pPr>
              <w:rPr>
                <w:color w:val="000000" w:themeColor="text1"/>
              </w:rPr>
            </w:pPr>
            <w:r w:rsidRPr="009F2F09">
              <w:rPr>
                <w:color w:val="000000" w:themeColor="text1"/>
              </w:rPr>
              <w:t>26.</w:t>
            </w:r>
          </w:p>
          <w:p w:rsidR="003D3E15" w:rsidRPr="009F2F09" w:rsidRDefault="003D3E15" w:rsidP="00EB3611">
            <w:pPr>
              <w:rPr>
                <w:color w:val="000000" w:themeColor="text1"/>
              </w:rPr>
            </w:pPr>
          </w:p>
          <w:p w:rsidR="003D3E15" w:rsidRPr="009F2F09" w:rsidRDefault="003D3E15" w:rsidP="00EB3611">
            <w:pPr>
              <w:rPr>
                <w:color w:val="000000" w:themeColor="text1"/>
              </w:rPr>
            </w:pPr>
          </w:p>
          <w:p w:rsidR="003D3E15" w:rsidRPr="009F2F09" w:rsidRDefault="003D3E15" w:rsidP="00EB3611">
            <w:pPr>
              <w:rPr>
                <w:color w:val="000000" w:themeColor="text1"/>
              </w:rPr>
            </w:pPr>
            <w:r w:rsidRPr="009F2F09">
              <w:rPr>
                <w:color w:val="000000" w:themeColor="text1"/>
              </w:rPr>
              <w:t xml:space="preserve">27. </w:t>
            </w:r>
          </w:p>
        </w:tc>
        <w:tc>
          <w:tcPr>
            <w:tcW w:w="8535" w:type="dxa"/>
            <w:tcMar>
              <w:top w:w="15" w:type="dxa"/>
              <w:left w:w="15" w:type="dxa"/>
              <w:bottom w:w="15" w:type="dxa"/>
              <w:right w:w="15" w:type="dxa"/>
            </w:tcMar>
            <w:vAlign w:val="center"/>
          </w:tcPr>
          <w:p w:rsidR="00D659B6" w:rsidRPr="009F2F09" w:rsidRDefault="00D659B6" w:rsidP="00EB3611">
            <w:pPr>
              <w:rPr>
                <w:color w:val="000000" w:themeColor="text1"/>
              </w:rPr>
            </w:pPr>
            <w:r w:rsidRPr="009F2F09">
              <w:rPr>
                <w:color w:val="000000" w:themeColor="text1"/>
              </w:rPr>
              <w:t>In alle gevallen waarin dit reglement  en de voorschriften carnavalsoptocht van de gemeente  Peel en Maas niet in voorziet, beslist de optochtcommissie.</w:t>
            </w:r>
          </w:p>
          <w:p w:rsidR="00D659B6" w:rsidRPr="009F2F09" w:rsidRDefault="003D3E15" w:rsidP="00EB3611">
            <w:pPr>
              <w:rPr>
                <w:color w:val="000000" w:themeColor="text1"/>
              </w:rPr>
            </w:pPr>
            <w:r w:rsidRPr="009F2F09">
              <w:rPr>
                <w:color w:val="000000" w:themeColor="text1"/>
              </w:rPr>
              <w:br/>
              <w:t>Tijdens de carnavalsoptochtoptocht worden foto’s en video-opnames gemaakt die via diverse (</w:t>
            </w:r>
            <w:proofErr w:type="spellStart"/>
            <w:r w:rsidRPr="009F2F09">
              <w:rPr>
                <w:color w:val="000000" w:themeColor="text1"/>
              </w:rPr>
              <w:t>social</w:t>
            </w:r>
            <w:proofErr w:type="spellEnd"/>
            <w:r w:rsidRPr="009F2F09">
              <w:rPr>
                <w:color w:val="000000" w:themeColor="text1"/>
              </w:rPr>
              <w:t>) media kanalen gepubliceerd kunnen worden. Door deel te nemen aan de carnavalsoptocht geef je daarvoor toestemming met het oog op de AVG-wetgeving.</w:t>
            </w:r>
          </w:p>
          <w:p w:rsidR="00B21405" w:rsidRPr="009F2F09" w:rsidRDefault="00B21405" w:rsidP="00EB3611">
            <w:pPr>
              <w:rPr>
                <w:color w:val="000000" w:themeColor="text1"/>
              </w:rPr>
            </w:pPr>
          </w:p>
          <w:p w:rsidR="00D659B6" w:rsidRPr="009F2F09" w:rsidRDefault="00897357" w:rsidP="00F34A62">
            <w:pPr>
              <w:rPr>
                <w:color w:val="000000" w:themeColor="text1"/>
              </w:rPr>
            </w:pPr>
            <w:r w:rsidRPr="009F2F09">
              <w:rPr>
                <w:color w:val="000000" w:themeColor="text1"/>
              </w:rPr>
              <w:br/>
            </w:r>
          </w:p>
        </w:tc>
      </w:tr>
      <w:tr w:rsidR="00B21405" w:rsidRPr="009F2F09" w:rsidTr="00B574D4">
        <w:trPr>
          <w:tblCellSpacing w:w="15" w:type="dxa"/>
        </w:trPr>
        <w:tc>
          <w:tcPr>
            <w:tcW w:w="520" w:type="dxa"/>
            <w:tcMar>
              <w:top w:w="15" w:type="dxa"/>
              <w:left w:w="15" w:type="dxa"/>
              <w:bottom w:w="15" w:type="dxa"/>
              <w:right w:w="15" w:type="dxa"/>
            </w:tcMar>
          </w:tcPr>
          <w:p w:rsidR="00B21405" w:rsidRPr="009F2F09" w:rsidRDefault="00B21405" w:rsidP="00EB3611">
            <w:pPr>
              <w:rPr>
                <w:color w:val="000000" w:themeColor="text1"/>
              </w:rPr>
            </w:pPr>
          </w:p>
        </w:tc>
        <w:tc>
          <w:tcPr>
            <w:tcW w:w="8535" w:type="dxa"/>
            <w:tcMar>
              <w:top w:w="15" w:type="dxa"/>
              <w:left w:w="15" w:type="dxa"/>
              <w:bottom w:w="15" w:type="dxa"/>
              <w:right w:w="15" w:type="dxa"/>
            </w:tcMar>
            <w:vAlign w:val="center"/>
          </w:tcPr>
          <w:p w:rsidR="00B21405" w:rsidRPr="009F2F09" w:rsidRDefault="00B21405" w:rsidP="00EB3611">
            <w:pPr>
              <w:rPr>
                <w:color w:val="000000" w:themeColor="text1"/>
              </w:rPr>
            </w:pPr>
          </w:p>
        </w:tc>
      </w:tr>
    </w:tbl>
    <w:p w:rsidR="00B574D4" w:rsidRDefault="00B574D4" w:rsidP="00B574D4">
      <w:pPr>
        <w:jc w:val="center"/>
        <w:rPr>
          <w:rFonts w:asciiTheme="minorHAnsi" w:hAnsiTheme="minorHAnsi" w:cstheme="minorHAnsi"/>
          <w:sz w:val="28"/>
          <w:szCs w:val="28"/>
        </w:rPr>
      </w:pPr>
      <w:r>
        <w:rPr>
          <w:rFonts w:asciiTheme="minorHAnsi" w:hAnsiTheme="minorHAnsi" w:cstheme="minorHAnsi"/>
          <w:sz w:val="28"/>
          <w:szCs w:val="28"/>
        </w:rPr>
        <w:t xml:space="preserve">Info: </w:t>
      </w:r>
      <w:hyperlink r:id="rId6" w:history="1">
        <w:r w:rsidR="00440141" w:rsidRPr="00833383">
          <w:rPr>
            <w:rStyle w:val="Hyperlink"/>
            <w:rFonts w:asciiTheme="minorHAnsi" w:hAnsiTheme="minorHAnsi" w:cstheme="minorHAnsi"/>
            <w:sz w:val="28"/>
            <w:szCs w:val="28"/>
          </w:rPr>
          <w:t>www.beringsekuus.nl/optocht/</w:t>
        </w:r>
      </w:hyperlink>
    </w:p>
    <w:p w:rsidR="00440141" w:rsidRDefault="00440141" w:rsidP="00B574D4">
      <w:pPr>
        <w:jc w:val="center"/>
        <w:rPr>
          <w:rFonts w:asciiTheme="minorHAnsi" w:hAnsiTheme="minorHAnsi" w:cstheme="minorHAnsi"/>
          <w:sz w:val="28"/>
          <w:szCs w:val="28"/>
        </w:rPr>
      </w:pPr>
    </w:p>
    <w:p w:rsidR="00440141" w:rsidRDefault="00440141" w:rsidP="00B574D4">
      <w:pPr>
        <w:jc w:val="center"/>
        <w:rPr>
          <w:rFonts w:asciiTheme="minorHAnsi" w:hAnsiTheme="minorHAnsi" w:cstheme="minorHAnsi"/>
          <w:sz w:val="28"/>
          <w:szCs w:val="28"/>
        </w:rPr>
      </w:pPr>
    </w:p>
    <w:p w:rsidR="00440141" w:rsidRDefault="00440141" w:rsidP="00B574D4">
      <w:pPr>
        <w:jc w:val="center"/>
        <w:rPr>
          <w:rFonts w:asciiTheme="minorHAnsi" w:hAnsiTheme="minorHAnsi" w:cstheme="minorHAnsi"/>
          <w:sz w:val="28"/>
          <w:szCs w:val="28"/>
        </w:rPr>
      </w:pPr>
    </w:p>
    <w:p w:rsidR="00440141" w:rsidRDefault="00440141" w:rsidP="00B574D4">
      <w:pPr>
        <w:jc w:val="center"/>
        <w:rPr>
          <w:rFonts w:asciiTheme="minorHAnsi" w:hAnsiTheme="minorHAnsi" w:cstheme="minorHAnsi"/>
          <w:sz w:val="28"/>
          <w:szCs w:val="28"/>
        </w:rPr>
      </w:pPr>
    </w:p>
    <w:p w:rsidR="00440141" w:rsidRDefault="00440141" w:rsidP="00B574D4">
      <w:pPr>
        <w:jc w:val="center"/>
        <w:rPr>
          <w:rFonts w:asciiTheme="minorHAnsi" w:hAnsiTheme="minorHAnsi" w:cstheme="minorHAnsi"/>
          <w:sz w:val="28"/>
          <w:szCs w:val="28"/>
        </w:rPr>
      </w:pPr>
    </w:p>
    <w:p w:rsidR="00440141" w:rsidRPr="00440141" w:rsidRDefault="00440141" w:rsidP="00440141">
      <w:pPr>
        <w:jc w:val="right"/>
        <w:rPr>
          <w:rFonts w:asciiTheme="minorHAnsi" w:hAnsiTheme="minorHAnsi" w:cstheme="minorHAnsi"/>
          <w:sz w:val="18"/>
          <w:szCs w:val="18"/>
        </w:rPr>
      </w:pPr>
      <w:r w:rsidRPr="00440141">
        <w:rPr>
          <w:rFonts w:asciiTheme="minorHAnsi" w:hAnsiTheme="minorHAnsi" w:cstheme="minorHAnsi"/>
          <w:sz w:val="18"/>
          <w:szCs w:val="18"/>
        </w:rPr>
        <w:t>Versie. 13-02-2025</w:t>
      </w:r>
    </w:p>
    <w:p w:rsidR="00D659B6" w:rsidRPr="009F2F09" w:rsidRDefault="00D659B6" w:rsidP="00EB3611">
      <w:pPr>
        <w:rPr>
          <w:color w:val="000000" w:themeColor="text1"/>
        </w:rPr>
      </w:pPr>
    </w:p>
    <w:sectPr w:rsidR="00D659B6" w:rsidRPr="009F2F09" w:rsidSect="003D3E15">
      <w:pgSz w:w="11906" w:h="16838" w:code="9"/>
      <w:pgMar w:top="1247" w:right="1418" w:bottom="119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163C6"/>
    <w:multiLevelType w:val="hybridMultilevel"/>
    <w:tmpl w:val="B8BCA682"/>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D659B6"/>
    <w:rsid w:val="00075E60"/>
    <w:rsid w:val="002D5FE1"/>
    <w:rsid w:val="00333437"/>
    <w:rsid w:val="00367101"/>
    <w:rsid w:val="003D3E15"/>
    <w:rsid w:val="00407AD0"/>
    <w:rsid w:val="00431D04"/>
    <w:rsid w:val="00440141"/>
    <w:rsid w:val="005152D7"/>
    <w:rsid w:val="00580EBF"/>
    <w:rsid w:val="005F4D56"/>
    <w:rsid w:val="006A5A5B"/>
    <w:rsid w:val="007372F6"/>
    <w:rsid w:val="00897357"/>
    <w:rsid w:val="008A7C5D"/>
    <w:rsid w:val="009F2F09"/>
    <w:rsid w:val="00AF490E"/>
    <w:rsid w:val="00B21405"/>
    <w:rsid w:val="00B574D4"/>
    <w:rsid w:val="00D53EF8"/>
    <w:rsid w:val="00D659B6"/>
    <w:rsid w:val="00DF7418"/>
    <w:rsid w:val="00EB3611"/>
    <w:rsid w:val="00F30731"/>
    <w:rsid w:val="00F34A62"/>
    <w:rsid w:val="00F447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2"/>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5E60"/>
  </w:style>
  <w:style w:type="paragraph" w:styleId="Kop1">
    <w:name w:val="heading 1"/>
    <w:basedOn w:val="Standaard"/>
    <w:next w:val="Standaard"/>
    <w:link w:val="Kop1Char"/>
    <w:uiPriority w:val="9"/>
    <w:qFormat/>
    <w:rsid w:val="00D659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659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659B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659B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659B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659B6"/>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659B6"/>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659B6"/>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659B6"/>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59B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659B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659B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659B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659B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659B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659B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659B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659B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65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59B6"/>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qFormat/>
    <w:rsid w:val="00D659B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elChar">
    <w:name w:val="Subtitel Char"/>
    <w:basedOn w:val="Standaardalinea-lettertype"/>
    <w:link w:val="Subtitel"/>
    <w:uiPriority w:val="11"/>
    <w:rsid w:val="00D659B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659B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659B6"/>
    <w:rPr>
      <w:i/>
      <w:iCs/>
      <w:color w:val="404040" w:themeColor="text1" w:themeTint="BF"/>
    </w:rPr>
  </w:style>
  <w:style w:type="paragraph" w:styleId="Lijstalinea">
    <w:name w:val="List Paragraph"/>
    <w:basedOn w:val="Standaard"/>
    <w:uiPriority w:val="34"/>
    <w:qFormat/>
    <w:rsid w:val="00D659B6"/>
    <w:pPr>
      <w:ind w:left="720"/>
      <w:contextualSpacing/>
    </w:pPr>
  </w:style>
  <w:style w:type="character" w:styleId="Intensievebenadrukking">
    <w:name w:val="Intense Emphasis"/>
    <w:basedOn w:val="Standaardalinea-lettertype"/>
    <w:uiPriority w:val="21"/>
    <w:qFormat/>
    <w:rsid w:val="00D659B6"/>
    <w:rPr>
      <w:i/>
      <w:iCs/>
      <w:color w:val="2F5496" w:themeColor="accent1" w:themeShade="BF"/>
    </w:rPr>
  </w:style>
  <w:style w:type="paragraph" w:styleId="Duidelijkcitaat">
    <w:name w:val="Intense Quote"/>
    <w:basedOn w:val="Standaard"/>
    <w:next w:val="Standaard"/>
    <w:link w:val="DuidelijkcitaatChar"/>
    <w:uiPriority w:val="30"/>
    <w:qFormat/>
    <w:rsid w:val="00D65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659B6"/>
    <w:rPr>
      <w:i/>
      <w:iCs/>
      <w:color w:val="2F5496" w:themeColor="accent1" w:themeShade="BF"/>
    </w:rPr>
  </w:style>
  <w:style w:type="character" w:styleId="Intensieveverwijzing">
    <w:name w:val="Intense Reference"/>
    <w:basedOn w:val="Standaardalinea-lettertype"/>
    <w:uiPriority w:val="32"/>
    <w:qFormat/>
    <w:rsid w:val="00D659B6"/>
    <w:rPr>
      <w:b/>
      <w:bCs/>
      <w:smallCaps/>
      <w:color w:val="2F5496" w:themeColor="accent1" w:themeShade="BF"/>
      <w:spacing w:val="5"/>
    </w:rPr>
  </w:style>
  <w:style w:type="paragraph" w:styleId="Normaalweb">
    <w:name w:val="Normal (Web)"/>
    <w:basedOn w:val="Standaard"/>
    <w:rsid w:val="00D659B6"/>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Hyperlink">
    <w:name w:val="Hyperlink"/>
    <w:basedOn w:val="Standaardalinea-lettertype"/>
    <w:uiPriority w:val="99"/>
    <w:unhideWhenUsed/>
    <w:rsid w:val="0044014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4350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ingsekuus.nl/optoch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1026</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Heussen</dc:creator>
  <cp:keywords/>
  <dc:description/>
  <cp:lastModifiedBy>Laptop</cp:lastModifiedBy>
  <cp:revision>8</cp:revision>
  <dcterms:created xsi:type="dcterms:W3CDTF">2025-02-13T07:35:00Z</dcterms:created>
  <dcterms:modified xsi:type="dcterms:W3CDTF">2025-02-13T18:51:00Z</dcterms:modified>
</cp:coreProperties>
</file>